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8ED" w:rsidRDefault="00E44193" w:rsidP="00E44193">
      <w:pPr>
        <w:jc w:val="right"/>
      </w:pPr>
      <w:r w:rsidRPr="00E44193">
        <w:rPr>
          <w:rFonts w:ascii="Arial" w:hAnsi="Arial" w:cs="Arial"/>
          <w:b/>
        </w:rPr>
        <w:t>Tema</w:t>
      </w:r>
      <w:r>
        <w:t xml:space="preserve">: Comprensión Lectora                                         </w:t>
      </w:r>
      <w:r w:rsidRPr="00E44193">
        <w:rPr>
          <w:rFonts w:ascii="Arial" w:hAnsi="Arial" w:cs="Arial"/>
          <w:b/>
        </w:rPr>
        <w:t>Subtema</w:t>
      </w:r>
      <w:r>
        <w:t>: La</w:t>
      </w:r>
      <w:r w:rsidRPr="00E44193">
        <w:t xml:space="preserve"> comprensión lectora desde </w:t>
      </w:r>
      <w:r>
        <w:t xml:space="preserve">                 </w:t>
      </w:r>
      <w:r w:rsidRPr="00E44193">
        <w:t>una concepción didáctico-cognitiva</w:t>
      </w:r>
    </w:p>
    <w:p w:rsidR="00E44193" w:rsidRPr="00E44193" w:rsidRDefault="00E44193" w:rsidP="00E44193">
      <w:pPr>
        <w:rPr>
          <w:rFonts w:ascii="Arial" w:hAnsi="Arial" w:cs="Arial"/>
          <w:sz w:val="28"/>
          <w:szCs w:val="28"/>
        </w:rPr>
      </w:pPr>
      <w:r w:rsidRPr="00E44193">
        <w:rPr>
          <w:rFonts w:ascii="Arial" w:hAnsi="Arial" w:cs="Arial"/>
          <w:sz w:val="28"/>
          <w:szCs w:val="28"/>
        </w:rPr>
        <w:t>Contenido</w:t>
      </w:r>
    </w:p>
    <w:p w:rsidR="00E44193" w:rsidRDefault="00E44193" w:rsidP="00E44193">
      <w:pPr>
        <w:rPr>
          <w:sz w:val="23"/>
          <w:szCs w:val="23"/>
        </w:rPr>
      </w:pPr>
      <w:r w:rsidRPr="00E44193">
        <w:rPr>
          <w:rFonts w:ascii="Arial" w:hAnsi="Arial" w:cs="Arial"/>
          <w:sz w:val="24"/>
          <w:szCs w:val="24"/>
        </w:rPr>
        <w:t>En el artículo se describe la definición de lo que es Comprensión Lectora aunado a eso presentan habilidades que intervienen en el proceso de comprensión lectora y por último se presentan los diferentes tipos de evaluación</w:t>
      </w:r>
      <w:r>
        <w:rPr>
          <w:sz w:val="23"/>
          <w:szCs w:val="23"/>
        </w:rPr>
        <w:t>.</w:t>
      </w:r>
    </w:p>
    <w:p w:rsidR="00E44193" w:rsidRPr="00857BCC" w:rsidRDefault="00E44193" w:rsidP="00857BCC">
      <w:pPr>
        <w:rPr>
          <w:rFonts w:ascii="Arial" w:hAnsi="Arial" w:cs="Arial"/>
          <w:sz w:val="28"/>
          <w:szCs w:val="28"/>
        </w:rPr>
      </w:pPr>
      <w:bookmarkStart w:id="0" w:name="_GoBack"/>
      <w:r w:rsidRPr="00E44193">
        <w:rPr>
          <w:rFonts w:ascii="Arial" w:hAnsi="Arial" w:cs="Arial"/>
          <w:sz w:val="28"/>
          <w:szCs w:val="28"/>
        </w:rPr>
        <w:t xml:space="preserve">Referencia </w:t>
      </w:r>
    </w:p>
    <w:bookmarkEnd w:id="0"/>
    <w:p w:rsidR="00857BCC" w:rsidRPr="00857BCC" w:rsidRDefault="00E44193" w:rsidP="00857BCC">
      <w:pPr>
        <w:pStyle w:val="Default"/>
        <w:rPr>
          <w:rFonts w:ascii="Times New Roman" w:hAnsi="Times New Roman" w:cs="Times New Roman"/>
        </w:rPr>
      </w:pPr>
      <w:r>
        <w:t xml:space="preserve"> </w:t>
      </w:r>
      <w:r>
        <w:rPr>
          <w:sz w:val="23"/>
          <w:szCs w:val="23"/>
        </w:rPr>
        <w:t>Ernan Santiesteban Naranjo</w:t>
      </w:r>
      <w:r w:rsidR="00857BCC">
        <w:rPr>
          <w:sz w:val="23"/>
          <w:szCs w:val="23"/>
        </w:rPr>
        <w:t>,</w:t>
      </w:r>
      <w:r>
        <w:rPr>
          <w:sz w:val="23"/>
          <w:szCs w:val="23"/>
        </w:rPr>
        <w:t xml:space="preserve"> </w:t>
      </w:r>
      <w:r w:rsidR="00857BCC">
        <w:rPr>
          <w:sz w:val="23"/>
          <w:szCs w:val="23"/>
        </w:rPr>
        <w:t>Kenia María Velázquez Ávila (2012);</w:t>
      </w:r>
      <w:r w:rsidR="00857BCC" w:rsidRPr="00857BCC">
        <w:t xml:space="preserve"> </w:t>
      </w:r>
      <w:r w:rsidR="00857BCC" w:rsidRPr="00857BCC">
        <w:rPr>
          <w:sz w:val="23"/>
          <w:szCs w:val="23"/>
        </w:rPr>
        <w:t>Revista Didasc@lia: D&amp;E. Publicación cooperada entre CEDUT</w:t>
      </w:r>
      <w:r w:rsidR="00857BCC">
        <w:rPr>
          <w:sz w:val="23"/>
          <w:szCs w:val="23"/>
        </w:rPr>
        <w:t xml:space="preserve">. </w:t>
      </w:r>
    </w:p>
    <w:p w:rsidR="00E44193" w:rsidRPr="00E44193" w:rsidRDefault="00E44193" w:rsidP="00E44193">
      <w:pPr>
        <w:pStyle w:val="Default"/>
        <w:rPr>
          <w:sz w:val="23"/>
          <w:szCs w:val="23"/>
        </w:rPr>
      </w:pPr>
    </w:p>
    <w:p w:rsidR="00E44193" w:rsidRDefault="00857BCC" w:rsidP="00E44193">
      <w:pPr>
        <w:rPr>
          <w:sz w:val="23"/>
          <w:szCs w:val="23"/>
        </w:rPr>
      </w:pPr>
      <w:r w:rsidRPr="00857BCC">
        <w:rPr>
          <w:b/>
          <w:sz w:val="23"/>
          <w:szCs w:val="23"/>
        </w:rPr>
        <w:t>Tipo</w:t>
      </w:r>
      <w:r>
        <w:rPr>
          <w:sz w:val="23"/>
          <w:szCs w:val="23"/>
        </w:rPr>
        <w:t xml:space="preserve">: Síntesis                                                                                             </w:t>
      </w:r>
      <w:r w:rsidRPr="00857BCC">
        <w:rPr>
          <w:b/>
          <w:sz w:val="23"/>
          <w:szCs w:val="23"/>
        </w:rPr>
        <w:t>Fecha</w:t>
      </w:r>
      <w:r>
        <w:rPr>
          <w:sz w:val="23"/>
          <w:szCs w:val="23"/>
        </w:rPr>
        <w:t xml:space="preserve">: 21/Abril/2015 </w:t>
      </w:r>
    </w:p>
    <w:p w:rsidR="00857BCC" w:rsidRDefault="00857BCC" w:rsidP="00857BCC">
      <w:pPr>
        <w:jc w:val="right"/>
        <w:rPr>
          <w:sz w:val="23"/>
          <w:szCs w:val="23"/>
        </w:rPr>
      </w:pPr>
    </w:p>
    <w:p w:rsidR="00DF5FA6" w:rsidRDefault="00DF5FA6" w:rsidP="00857BCC">
      <w:pPr>
        <w:jc w:val="right"/>
        <w:rPr>
          <w:sz w:val="23"/>
          <w:szCs w:val="23"/>
        </w:rPr>
      </w:pPr>
    </w:p>
    <w:p w:rsidR="00857BCC" w:rsidRDefault="00857BCC" w:rsidP="00857BCC">
      <w:pPr>
        <w:jc w:val="right"/>
      </w:pPr>
      <w:r w:rsidRPr="00E44193">
        <w:rPr>
          <w:rFonts w:ascii="Arial" w:hAnsi="Arial" w:cs="Arial"/>
          <w:b/>
        </w:rPr>
        <w:t>Tema</w:t>
      </w:r>
      <w:r>
        <w:t xml:space="preserve">: Comprensión Lectora   </w:t>
      </w:r>
      <w:r w:rsidRPr="00E44193">
        <w:rPr>
          <w:rFonts w:ascii="Arial" w:hAnsi="Arial" w:cs="Arial"/>
          <w:b/>
        </w:rPr>
        <w:t>Subtema</w:t>
      </w:r>
      <w:r>
        <w:t>: El proceso y desarrollo de la comprensión lectora en el   contexto escolar de la educación primaria</w:t>
      </w:r>
    </w:p>
    <w:p w:rsidR="00857BCC" w:rsidRDefault="00857BCC" w:rsidP="00857BCC">
      <w:pPr>
        <w:rPr>
          <w:rFonts w:ascii="Arial" w:hAnsi="Arial" w:cs="Arial"/>
          <w:sz w:val="28"/>
          <w:szCs w:val="28"/>
        </w:rPr>
      </w:pPr>
      <w:r w:rsidRPr="00E44193">
        <w:rPr>
          <w:rFonts w:ascii="Arial" w:hAnsi="Arial" w:cs="Arial"/>
          <w:sz w:val="28"/>
          <w:szCs w:val="28"/>
        </w:rPr>
        <w:t>Contenido</w:t>
      </w:r>
    </w:p>
    <w:p w:rsidR="00857BCC" w:rsidRPr="00DF5FA6" w:rsidRDefault="00857BCC" w:rsidP="00DF5FA6">
      <w:pPr>
        <w:jc w:val="both"/>
        <w:rPr>
          <w:rFonts w:ascii="Arial" w:hAnsi="Arial" w:cs="Arial"/>
          <w:sz w:val="24"/>
          <w:szCs w:val="24"/>
        </w:rPr>
      </w:pPr>
      <w:r w:rsidRPr="00DF5FA6">
        <w:rPr>
          <w:rFonts w:ascii="Arial" w:hAnsi="Arial" w:cs="Arial"/>
          <w:sz w:val="24"/>
          <w:szCs w:val="24"/>
        </w:rPr>
        <w:t xml:space="preserve">El artículo investigado nos hace referencia sobre un panorama dentro del sector educativo a nivel primaria, haciendo énfasis en la importancia que tiene la lectura. </w:t>
      </w:r>
    </w:p>
    <w:p w:rsidR="00DF5FA6" w:rsidRPr="00DF5FA6" w:rsidRDefault="00DF5FA6" w:rsidP="00DF5FA6">
      <w:pPr>
        <w:jc w:val="both"/>
        <w:rPr>
          <w:rFonts w:ascii="Arial" w:hAnsi="Arial" w:cs="Arial"/>
          <w:sz w:val="24"/>
          <w:szCs w:val="24"/>
        </w:rPr>
      </w:pPr>
      <w:r w:rsidRPr="00DF5FA6">
        <w:rPr>
          <w:rFonts w:ascii="Arial" w:hAnsi="Arial" w:cs="Arial"/>
          <w:sz w:val="24"/>
          <w:szCs w:val="24"/>
        </w:rPr>
        <w:t>Posterior</w:t>
      </w:r>
      <w:r w:rsidR="00857BCC" w:rsidRPr="00DF5FA6">
        <w:rPr>
          <w:rFonts w:ascii="Arial" w:hAnsi="Arial" w:cs="Arial"/>
          <w:sz w:val="24"/>
          <w:szCs w:val="24"/>
        </w:rPr>
        <w:t xml:space="preserve">mente </w:t>
      </w:r>
      <w:r w:rsidRPr="00DF5FA6">
        <w:rPr>
          <w:rFonts w:ascii="Arial" w:hAnsi="Arial" w:cs="Arial"/>
          <w:sz w:val="24"/>
          <w:szCs w:val="24"/>
        </w:rPr>
        <w:t>nos habla sobre el proceso que los estudiantes deben desarrollar para lograr la comprensión lectora, presentándonos los obstáculos por los cuales pasa el alumno.</w:t>
      </w:r>
    </w:p>
    <w:p w:rsidR="00857BCC" w:rsidRPr="00DF5FA6" w:rsidRDefault="00DF5FA6" w:rsidP="00DF5FA6">
      <w:pPr>
        <w:ind w:left="2835" w:right="2835"/>
        <w:jc w:val="center"/>
        <w:rPr>
          <w:rFonts w:ascii="Arial" w:hAnsi="Arial" w:cs="Arial"/>
          <w:sz w:val="20"/>
          <w:szCs w:val="20"/>
        </w:rPr>
      </w:pPr>
      <w:r>
        <w:rPr>
          <w:rFonts w:ascii="Arial" w:hAnsi="Arial" w:cs="Arial"/>
          <w:sz w:val="20"/>
          <w:szCs w:val="20"/>
        </w:rPr>
        <w:t>S</w:t>
      </w:r>
      <w:r w:rsidRPr="00DF5FA6">
        <w:rPr>
          <w:rFonts w:ascii="Arial" w:hAnsi="Arial" w:cs="Arial"/>
          <w:sz w:val="20"/>
          <w:szCs w:val="20"/>
        </w:rPr>
        <w:t>e hace énfasis en los tres elementos esenciales de la lectura de comprensión: Interactiva, constructiva y estratégica</w:t>
      </w:r>
      <w:r>
        <w:rPr>
          <w:rFonts w:ascii="Arial" w:hAnsi="Arial" w:cs="Arial"/>
          <w:sz w:val="20"/>
          <w:szCs w:val="20"/>
        </w:rPr>
        <w:t xml:space="preserve"> (MARTINEZ, 2007)</w:t>
      </w:r>
    </w:p>
    <w:p w:rsidR="00857BCC" w:rsidRPr="00857BCC" w:rsidRDefault="00857BCC" w:rsidP="00857BCC">
      <w:pPr>
        <w:rPr>
          <w:rFonts w:ascii="Arial" w:hAnsi="Arial" w:cs="Arial"/>
          <w:sz w:val="28"/>
          <w:szCs w:val="28"/>
        </w:rPr>
      </w:pPr>
      <w:r w:rsidRPr="00E44193">
        <w:rPr>
          <w:rFonts w:ascii="Arial" w:hAnsi="Arial" w:cs="Arial"/>
          <w:sz w:val="28"/>
          <w:szCs w:val="28"/>
        </w:rPr>
        <w:t xml:space="preserve">Referencia </w:t>
      </w:r>
    </w:p>
    <w:p w:rsidR="00857BCC" w:rsidRPr="00E44193" w:rsidRDefault="00DF5FA6" w:rsidP="00857BCC">
      <w:pPr>
        <w:pStyle w:val="Default"/>
        <w:rPr>
          <w:sz w:val="23"/>
          <w:szCs w:val="23"/>
        </w:rPr>
      </w:pPr>
      <w:r>
        <w:rPr>
          <w:sz w:val="23"/>
          <w:szCs w:val="23"/>
        </w:rPr>
        <w:t xml:space="preserve">ALMA DE JESUS MARTINEZ TORREZ (2007); Revista conexión de psicología. AliatUniversidades, issn: 2007 – 8471 </w:t>
      </w:r>
    </w:p>
    <w:p w:rsidR="00A82E40" w:rsidRDefault="00A82E40" w:rsidP="00857BCC">
      <w:pPr>
        <w:rPr>
          <w:b/>
          <w:sz w:val="23"/>
          <w:szCs w:val="23"/>
        </w:rPr>
      </w:pPr>
    </w:p>
    <w:p w:rsidR="00857BCC" w:rsidRDefault="00857BCC" w:rsidP="00857BCC">
      <w:pPr>
        <w:rPr>
          <w:sz w:val="23"/>
          <w:szCs w:val="23"/>
        </w:rPr>
      </w:pPr>
      <w:r w:rsidRPr="00857BCC">
        <w:rPr>
          <w:b/>
          <w:sz w:val="23"/>
          <w:szCs w:val="23"/>
        </w:rPr>
        <w:t>Tipo</w:t>
      </w:r>
      <w:r>
        <w:rPr>
          <w:sz w:val="23"/>
          <w:szCs w:val="23"/>
        </w:rPr>
        <w:t xml:space="preserve">: Síntesis                                                                                             </w:t>
      </w:r>
      <w:r w:rsidRPr="00857BCC">
        <w:rPr>
          <w:b/>
          <w:sz w:val="23"/>
          <w:szCs w:val="23"/>
        </w:rPr>
        <w:t>Fecha</w:t>
      </w:r>
      <w:r>
        <w:rPr>
          <w:sz w:val="23"/>
          <w:szCs w:val="23"/>
        </w:rPr>
        <w:t xml:space="preserve">: 21/Abril/2015 </w:t>
      </w:r>
    </w:p>
    <w:p w:rsidR="00857BCC" w:rsidRDefault="00857BCC" w:rsidP="00857BCC">
      <w:pPr>
        <w:rPr>
          <w:sz w:val="23"/>
          <w:szCs w:val="23"/>
        </w:rPr>
      </w:pPr>
    </w:p>
    <w:p w:rsidR="00A82E40" w:rsidRDefault="00A82E40" w:rsidP="00DF5FA6">
      <w:pPr>
        <w:rPr>
          <w:b/>
          <w:sz w:val="23"/>
          <w:szCs w:val="23"/>
        </w:rPr>
      </w:pPr>
    </w:p>
    <w:p w:rsidR="00A82E40" w:rsidRDefault="00A82E40" w:rsidP="00DF5FA6">
      <w:pPr>
        <w:rPr>
          <w:b/>
          <w:sz w:val="23"/>
          <w:szCs w:val="23"/>
        </w:rPr>
      </w:pPr>
    </w:p>
    <w:p w:rsidR="00A82E40" w:rsidRDefault="00A82E40" w:rsidP="00A82E40">
      <w:pPr>
        <w:jc w:val="right"/>
      </w:pPr>
      <w:r w:rsidRPr="00E44193">
        <w:rPr>
          <w:rFonts w:ascii="Arial" w:hAnsi="Arial" w:cs="Arial"/>
          <w:b/>
        </w:rPr>
        <w:lastRenderedPageBreak/>
        <w:t>Tema</w:t>
      </w:r>
      <w:r>
        <w:t xml:space="preserve">: Comprensión Lectora   </w:t>
      </w:r>
      <w:r w:rsidRPr="00E44193">
        <w:rPr>
          <w:rFonts w:ascii="Arial" w:hAnsi="Arial" w:cs="Arial"/>
          <w:b/>
        </w:rPr>
        <w:t>Subtema</w:t>
      </w:r>
      <w:r>
        <w:t>: ESTRATEGIAS DE COMPRENSIÓN LECTORA: ENSEÑANZA Y EVALUACIÓN EN EDUCACIÓN PRIMARIA</w:t>
      </w:r>
    </w:p>
    <w:p w:rsidR="00A82E40" w:rsidRDefault="00A82E40" w:rsidP="00A82E40">
      <w:pPr>
        <w:rPr>
          <w:rFonts w:ascii="Arial" w:hAnsi="Arial" w:cs="Arial"/>
          <w:sz w:val="28"/>
          <w:szCs w:val="28"/>
        </w:rPr>
      </w:pPr>
      <w:r w:rsidRPr="00E44193">
        <w:rPr>
          <w:rFonts w:ascii="Arial" w:hAnsi="Arial" w:cs="Arial"/>
          <w:sz w:val="28"/>
          <w:szCs w:val="28"/>
        </w:rPr>
        <w:t>Contenido</w:t>
      </w:r>
    </w:p>
    <w:p w:rsidR="00A82E40" w:rsidRPr="00DF5FA6" w:rsidRDefault="000D56DB" w:rsidP="00A82E40">
      <w:pPr>
        <w:jc w:val="both"/>
        <w:rPr>
          <w:rFonts w:ascii="Arial" w:hAnsi="Arial" w:cs="Arial"/>
          <w:sz w:val="24"/>
          <w:szCs w:val="24"/>
        </w:rPr>
      </w:pPr>
      <w:r>
        <w:rPr>
          <w:rFonts w:ascii="Arial" w:hAnsi="Arial" w:cs="Arial"/>
          <w:sz w:val="24"/>
          <w:szCs w:val="24"/>
        </w:rPr>
        <w:t>El artículo investigado habla sobre cómo se tiene en la actualidad el concepto de la competencia lectora y se hace mención especial a las diferentes estrategias que se implementan para que los estudiantes de nivel primaria comprendan la lectura.</w:t>
      </w:r>
    </w:p>
    <w:p w:rsidR="000D56DB" w:rsidRDefault="000D56DB" w:rsidP="00A82E40">
      <w:pPr>
        <w:rPr>
          <w:rFonts w:ascii="Arial" w:hAnsi="Arial" w:cs="Arial"/>
          <w:sz w:val="20"/>
          <w:szCs w:val="20"/>
        </w:rPr>
      </w:pPr>
    </w:p>
    <w:p w:rsidR="00A82E40" w:rsidRPr="00857BCC" w:rsidRDefault="00A82E40" w:rsidP="00A82E40">
      <w:pPr>
        <w:rPr>
          <w:rFonts w:ascii="Arial" w:hAnsi="Arial" w:cs="Arial"/>
          <w:sz w:val="28"/>
          <w:szCs w:val="28"/>
        </w:rPr>
      </w:pPr>
      <w:r w:rsidRPr="00E44193">
        <w:rPr>
          <w:rFonts w:ascii="Arial" w:hAnsi="Arial" w:cs="Arial"/>
          <w:sz w:val="28"/>
          <w:szCs w:val="28"/>
        </w:rPr>
        <w:t xml:space="preserve">Referencia </w:t>
      </w:r>
    </w:p>
    <w:p w:rsidR="00A82E40" w:rsidRPr="00E44193" w:rsidRDefault="000D56DB" w:rsidP="00A82E40">
      <w:pPr>
        <w:pStyle w:val="Default"/>
        <w:rPr>
          <w:sz w:val="23"/>
          <w:szCs w:val="23"/>
        </w:rPr>
      </w:pPr>
      <w:r>
        <w:rPr>
          <w:sz w:val="23"/>
          <w:szCs w:val="23"/>
        </w:rPr>
        <w:t>Profesorado (2012</w:t>
      </w:r>
      <w:r w:rsidR="00A82E40">
        <w:rPr>
          <w:sz w:val="23"/>
          <w:szCs w:val="23"/>
        </w:rPr>
        <w:t xml:space="preserve">); Revista </w:t>
      </w:r>
      <w:r>
        <w:rPr>
          <w:sz w:val="23"/>
          <w:szCs w:val="23"/>
        </w:rPr>
        <w:t>de curriculum</w:t>
      </w:r>
      <w:r w:rsidR="00A82E40">
        <w:rPr>
          <w:sz w:val="23"/>
          <w:szCs w:val="23"/>
        </w:rPr>
        <w:t xml:space="preserve">. </w:t>
      </w:r>
      <w:r>
        <w:t>VOL. 16, Nº 1 (enero-abril 2012)</w:t>
      </w:r>
    </w:p>
    <w:p w:rsidR="00A82E40" w:rsidRDefault="00A82E40" w:rsidP="00DF5FA6">
      <w:pPr>
        <w:rPr>
          <w:b/>
          <w:sz w:val="23"/>
          <w:szCs w:val="23"/>
        </w:rPr>
      </w:pPr>
    </w:p>
    <w:p w:rsidR="00DF5FA6" w:rsidRDefault="00DF5FA6" w:rsidP="00DF5FA6">
      <w:pPr>
        <w:rPr>
          <w:sz w:val="23"/>
          <w:szCs w:val="23"/>
        </w:rPr>
      </w:pPr>
      <w:r w:rsidRPr="00857BCC">
        <w:rPr>
          <w:b/>
          <w:sz w:val="23"/>
          <w:szCs w:val="23"/>
        </w:rPr>
        <w:t>Tipo</w:t>
      </w:r>
      <w:r>
        <w:rPr>
          <w:sz w:val="23"/>
          <w:szCs w:val="23"/>
        </w:rPr>
        <w:t xml:space="preserve">: Síntesis                                                                                             </w:t>
      </w:r>
      <w:r w:rsidRPr="00857BCC">
        <w:rPr>
          <w:b/>
          <w:sz w:val="23"/>
          <w:szCs w:val="23"/>
        </w:rPr>
        <w:t>Fecha</w:t>
      </w:r>
      <w:r w:rsidR="000D56DB">
        <w:rPr>
          <w:sz w:val="23"/>
          <w:szCs w:val="23"/>
        </w:rPr>
        <w:t>: 22</w:t>
      </w:r>
      <w:r>
        <w:rPr>
          <w:sz w:val="23"/>
          <w:szCs w:val="23"/>
        </w:rPr>
        <w:t xml:space="preserve">/Abril/2015 </w:t>
      </w:r>
    </w:p>
    <w:p w:rsidR="00A82E40" w:rsidRDefault="00A82E40" w:rsidP="000F00C8">
      <w:pPr>
        <w:jc w:val="center"/>
      </w:pPr>
    </w:p>
    <w:p w:rsidR="000D56DB" w:rsidRDefault="000D56DB" w:rsidP="000F00C8">
      <w:pPr>
        <w:jc w:val="center"/>
      </w:pPr>
    </w:p>
    <w:p w:rsidR="000D56DB" w:rsidRDefault="000D56DB" w:rsidP="000F00C8">
      <w:pPr>
        <w:jc w:val="center"/>
      </w:pPr>
    </w:p>
    <w:p w:rsidR="000D56DB" w:rsidRDefault="000D56DB" w:rsidP="000F00C8">
      <w:pPr>
        <w:jc w:val="center"/>
      </w:pPr>
    </w:p>
    <w:p w:rsidR="000D56DB" w:rsidRDefault="000D56DB" w:rsidP="000F00C8">
      <w:pPr>
        <w:jc w:val="center"/>
      </w:pPr>
    </w:p>
    <w:p w:rsidR="000F00C8" w:rsidRDefault="000F00C8" w:rsidP="000F00C8">
      <w:pPr>
        <w:jc w:val="center"/>
      </w:pPr>
      <w:r>
        <w:t xml:space="preserve">Ficha de Resumen </w:t>
      </w:r>
    </w:p>
    <w:p w:rsidR="000F00C8" w:rsidRDefault="000F00C8" w:rsidP="000F00C8">
      <w:pPr>
        <w:jc w:val="center"/>
      </w:pPr>
      <w:r>
        <w:t>Revista: Conexión                                                                                                                                     Pág.: 1</w:t>
      </w:r>
    </w:p>
    <w:p w:rsidR="000F00C8" w:rsidRDefault="000F00C8" w:rsidP="000F00C8">
      <w:pPr>
        <w:tabs>
          <w:tab w:val="left" w:pos="7500"/>
        </w:tabs>
        <w:jc w:val="center"/>
        <w:rPr>
          <w:sz w:val="23"/>
          <w:szCs w:val="23"/>
        </w:rPr>
      </w:pPr>
      <w:r>
        <w:t xml:space="preserve">Autor: </w:t>
      </w:r>
      <w:r>
        <w:rPr>
          <w:sz w:val="23"/>
          <w:szCs w:val="23"/>
        </w:rPr>
        <w:t>ALMA DE JESUS MARTINEZ TORREZ</w:t>
      </w:r>
      <w:r>
        <w:rPr>
          <w:sz w:val="23"/>
          <w:szCs w:val="23"/>
        </w:rPr>
        <w:tab/>
        <w:t xml:space="preserve">   Edición: N°6</w:t>
      </w:r>
    </w:p>
    <w:p w:rsidR="000F00C8" w:rsidRDefault="000F00C8" w:rsidP="000F00C8">
      <w:pPr>
        <w:jc w:val="center"/>
      </w:pPr>
      <w:r>
        <w:rPr>
          <w:noProof/>
          <w:sz w:val="23"/>
          <w:szCs w:val="23"/>
          <w:lang w:eastAsia="es-MX"/>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238125</wp:posOffset>
                </wp:positionV>
                <wp:extent cx="6134100" cy="76200"/>
                <wp:effectExtent l="0" t="0" r="0" b="0"/>
                <wp:wrapNone/>
                <wp:docPr id="1" name="Menos 1"/>
                <wp:cNvGraphicFramePr/>
                <a:graphic xmlns:a="http://schemas.openxmlformats.org/drawingml/2006/main">
                  <a:graphicData uri="http://schemas.microsoft.com/office/word/2010/wordprocessingShape">
                    <wps:wsp>
                      <wps:cNvSpPr/>
                      <wps:spPr>
                        <a:xfrm>
                          <a:off x="0" y="0"/>
                          <a:ext cx="6134100" cy="76200"/>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EDE9D0E" id="Menos 1" o:spid="_x0000_s1026" style="position:absolute;margin-left:0;margin-top:18.75pt;width:483pt;height:6pt;z-index:251659264;visibility:visible;mso-wrap-style:square;mso-wrap-distance-left:9pt;mso-wrap-distance-top:0;mso-wrap-distance-right:9pt;mso-wrap-distance-bottom:0;mso-position-horizontal:center;mso-position-horizontal-relative:margin;mso-position-vertical:absolute;mso-position-vertical-relative:text;v-text-anchor:middle" coordsize="6134100,7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" path="m813075,29139r4507950,l5321025,47061r-4507950,l813075,29139xe" fillcolor="#5b9bd5 [3204]" strokecolor="#1f4d78 [1604]" strokeweight="1pt">
                <v:stroke joinstyle="miter"/>
                <v:path arrowok="t" o:connecttype="custom" o:connectlocs="813075,29139;5321025,29139;5321025,47061;813075,47061;813075,29139" o:connectangles="0,0,0,0,0"/>
                <w10:wrap anchorx="margin"/>
              </v:shape>
            </w:pict>
          </mc:Fallback>
        </mc:AlternateContent>
      </w:r>
      <w:r>
        <w:rPr>
          <w:sz w:val="23"/>
          <w:szCs w:val="23"/>
        </w:rPr>
        <w:t>Editorial: AliatUniversidades                                                                                                   AÑO: 2007</w:t>
      </w:r>
    </w:p>
    <w:p w:rsidR="000F00C8" w:rsidRDefault="000F00C8" w:rsidP="008A196F">
      <w:pPr>
        <w:spacing w:line="360" w:lineRule="auto"/>
        <w:jc w:val="center"/>
      </w:pPr>
    </w:p>
    <w:p w:rsidR="000F00C8" w:rsidRPr="008A196F" w:rsidRDefault="000F00C8" w:rsidP="008A196F">
      <w:pPr>
        <w:spacing w:line="360" w:lineRule="auto"/>
        <w:jc w:val="both"/>
        <w:rPr>
          <w:rFonts w:ascii="Arial" w:hAnsi="Arial" w:cs="Arial"/>
          <w:sz w:val="24"/>
          <w:szCs w:val="24"/>
        </w:rPr>
      </w:pPr>
      <w:r w:rsidRPr="008A196F">
        <w:rPr>
          <w:rFonts w:ascii="Arial" w:hAnsi="Arial" w:cs="Arial"/>
          <w:sz w:val="24"/>
          <w:szCs w:val="24"/>
        </w:rPr>
        <w:t>El fomento a la lectura es fundamental para poder desarrollar en los alumnos el Perfil de Egreso de la Educación Básica, la lectura para la comprensión se privilegia en el Campo de Formación: lenguaje y comunicación, se considera que ésta es necesaria para la reflexión y el uso de la información (Programas de Estudio, 2011).</w:t>
      </w:r>
    </w:p>
    <w:p w:rsidR="000F00C8" w:rsidRDefault="000F00C8" w:rsidP="008A196F">
      <w:pPr>
        <w:spacing w:line="360" w:lineRule="auto"/>
        <w:jc w:val="both"/>
        <w:rPr>
          <w:rFonts w:ascii="Arial" w:hAnsi="Arial" w:cs="Arial"/>
          <w:sz w:val="24"/>
          <w:szCs w:val="24"/>
        </w:rPr>
      </w:pPr>
      <w:r w:rsidRPr="008A196F">
        <w:rPr>
          <w:rFonts w:ascii="Arial" w:hAnsi="Arial" w:cs="Arial"/>
          <w:sz w:val="24"/>
          <w:szCs w:val="24"/>
        </w:rPr>
        <w:t>La importancia de desarrollar la competencia lectora en los alumnos para que esta sea un medio favorable para acercarse a la información y poder aprender a lo largo de la vida.</w:t>
      </w:r>
    </w:p>
    <w:p w:rsidR="0027675B" w:rsidRPr="008A196F" w:rsidRDefault="0027675B" w:rsidP="008A196F">
      <w:pPr>
        <w:spacing w:line="360" w:lineRule="auto"/>
        <w:jc w:val="both"/>
        <w:rPr>
          <w:rFonts w:ascii="Arial" w:hAnsi="Arial" w:cs="Arial"/>
          <w:sz w:val="24"/>
          <w:szCs w:val="24"/>
        </w:rPr>
      </w:pPr>
    </w:p>
    <w:p w:rsidR="008A196F" w:rsidRDefault="008A196F" w:rsidP="008A196F">
      <w:pPr>
        <w:jc w:val="center"/>
      </w:pPr>
      <w:r>
        <w:lastRenderedPageBreak/>
        <w:t xml:space="preserve">Ficha de Resumen </w:t>
      </w:r>
    </w:p>
    <w:p w:rsidR="008A196F" w:rsidRDefault="008A196F" w:rsidP="008A196F">
      <w:r>
        <w:t>Articulo WEB: Articulo Juana Arriaga.pdf                                                                                             Pág.: 1</w:t>
      </w:r>
    </w:p>
    <w:p w:rsidR="008A196F" w:rsidRPr="008A196F" w:rsidRDefault="008A196F" w:rsidP="008A196F">
      <w:r>
        <w:t xml:space="preserve">Autor: Mtra. </w:t>
      </w:r>
      <w:r>
        <w:rPr>
          <w:sz w:val="23"/>
          <w:szCs w:val="23"/>
        </w:rPr>
        <w:t xml:space="preserve">Juana Arriaga Méndez </w:t>
      </w:r>
      <w:r>
        <w:rPr>
          <w:sz w:val="23"/>
          <w:szCs w:val="23"/>
        </w:rPr>
        <w:tab/>
        <w:t xml:space="preserve">                                                                                    Edición: 1 </w:t>
      </w:r>
    </w:p>
    <w:p w:rsidR="008A196F" w:rsidRDefault="008A196F" w:rsidP="008A196F">
      <w:r>
        <w:rPr>
          <w:noProof/>
          <w:sz w:val="23"/>
          <w:szCs w:val="23"/>
          <w:lang w:eastAsia="es-MX"/>
        </w:rPr>
        <mc:AlternateContent>
          <mc:Choice Requires="wps">
            <w:drawing>
              <wp:anchor distT="0" distB="0" distL="114300" distR="114300" simplePos="0" relativeHeight="251661312" behindDoc="0" locked="0" layoutInCell="1" allowOverlap="1" wp14:anchorId="4EEE6709" wp14:editId="2AF3AF92">
                <wp:simplePos x="0" y="0"/>
                <wp:positionH relativeFrom="margin">
                  <wp:align>center</wp:align>
                </wp:positionH>
                <wp:positionV relativeFrom="paragraph">
                  <wp:posOffset>238125</wp:posOffset>
                </wp:positionV>
                <wp:extent cx="6134100" cy="76200"/>
                <wp:effectExtent l="0" t="0" r="0" b="0"/>
                <wp:wrapNone/>
                <wp:docPr id="2" name="Menos 2"/>
                <wp:cNvGraphicFramePr/>
                <a:graphic xmlns:a="http://schemas.openxmlformats.org/drawingml/2006/main">
                  <a:graphicData uri="http://schemas.microsoft.com/office/word/2010/wordprocessingShape">
                    <wps:wsp>
                      <wps:cNvSpPr/>
                      <wps:spPr>
                        <a:xfrm>
                          <a:off x="0" y="0"/>
                          <a:ext cx="6134100" cy="76200"/>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61DF10" id="Menos 2" o:spid="_x0000_s1026" style="position:absolute;margin-left:0;margin-top:18.75pt;width:483pt;height:6pt;z-index:251661312;visibility:visible;mso-wrap-style:square;mso-wrap-distance-left:9pt;mso-wrap-distance-top:0;mso-wrap-distance-right:9pt;mso-wrap-distance-bottom:0;mso-position-horizontal:center;mso-position-horizontal-relative:margin;mso-position-vertical:absolute;mso-position-vertical-relative:text;v-text-anchor:middle" coordsize="6134100,7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" path="m813075,29139r4507950,l5321025,47061r-4507950,l813075,29139xe" fillcolor="#5b9bd5 [3204]" strokecolor="#1f4d78 [1604]" strokeweight="1pt">
                <v:stroke joinstyle="miter"/>
                <v:path arrowok="t" o:connecttype="custom" o:connectlocs="813075,29139;5321025,29139;5321025,47061;813075,47061;813075,29139" o:connectangles="0,0,0,0,0"/>
                <w10:wrap anchorx="margin"/>
              </v:shape>
            </w:pict>
          </mc:Fallback>
        </mc:AlternateContent>
      </w:r>
      <w:r>
        <w:rPr>
          <w:sz w:val="23"/>
          <w:szCs w:val="23"/>
        </w:rPr>
        <w:t xml:space="preserve">Editorial: Mundialización Educativa                                                                           </w:t>
      </w:r>
      <w:r w:rsidR="0027675B">
        <w:rPr>
          <w:sz w:val="23"/>
          <w:szCs w:val="23"/>
        </w:rPr>
        <w:t xml:space="preserve">            </w:t>
      </w:r>
      <w:r>
        <w:rPr>
          <w:sz w:val="23"/>
          <w:szCs w:val="23"/>
        </w:rPr>
        <w:t xml:space="preserve">AÑO: </w:t>
      </w:r>
      <w:r w:rsidR="0027675B">
        <w:rPr>
          <w:sz w:val="23"/>
          <w:szCs w:val="23"/>
        </w:rPr>
        <w:t>2012</w:t>
      </w:r>
    </w:p>
    <w:p w:rsidR="008A196F" w:rsidRDefault="008A196F" w:rsidP="008A196F">
      <w:pPr>
        <w:jc w:val="center"/>
      </w:pPr>
    </w:p>
    <w:p w:rsidR="008A196F" w:rsidRPr="008A196F" w:rsidRDefault="008A196F" w:rsidP="008A196F">
      <w:pPr>
        <w:spacing w:line="360" w:lineRule="auto"/>
        <w:jc w:val="both"/>
        <w:rPr>
          <w:rFonts w:ascii="Arial" w:hAnsi="Arial" w:cs="Arial"/>
          <w:sz w:val="24"/>
          <w:szCs w:val="24"/>
        </w:rPr>
      </w:pPr>
      <w:r w:rsidRPr="008A196F">
        <w:rPr>
          <w:rFonts w:ascii="Arial" w:hAnsi="Arial" w:cs="Arial"/>
          <w:sz w:val="24"/>
          <w:szCs w:val="24"/>
        </w:rPr>
        <w:t>Analizar la comprensión de la lectura es un proceso que requiere de conocimiento y fundamentación teórica por parte del docente,  se puede poner en primer plano como propósito el formar lectores, este proceso se desarrollará con base al acercamiento y la interacción que se logre entre el texto y el lector, lograr que los alumnos lean de manera que puedan utilizar la lectura como instrumento para la adquisición del conocimiento es un reto, que la escuela tiene que enfrentar.</w:t>
      </w:r>
    </w:p>
    <w:p w:rsidR="000F00C8" w:rsidRDefault="000F00C8" w:rsidP="000F00C8">
      <w:pPr>
        <w:jc w:val="center"/>
      </w:pPr>
    </w:p>
    <w:p w:rsidR="000F00C8" w:rsidRDefault="000F00C8" w:rsidP="000F00C8">
      <w:pPr>
        <w:jc w:val="center"/>
      </w:pPr>
    </w:p>
    <w:p w:rsidR="000D56DB" w:rsidRDefault="000D56DB" w:rsidP="000D56DB">
      <w:pPr>
        <w:jc w:val="center"/>
      </w:pPr>
      <w:r>
        <w:t xml:space="preserve">Ficha de Resumen </w:t>
      </w:r>
    </w:p>
    <w:p w:rsidR="000D56DB" w:rsidRDefault="000D56DB" w:rsidP="000D56DB">
      <w:r>
        <w:rPr>
          <w:sz w:val="23"/>
          <w:szCs w:val="23"/>
        </w:rPr>
        <w:t>Profesorado (2012); Revista de curriculum</w:t>
      </w:r>
      <w:r>
        <w:t xml:space="preserve">                                                                                      </w:t>
      </w:r>
      <w:r>
        <w:t>Pág.: 1</w:t>
      </w:r>
    </w:p>
    <w:p w:rsidR="000D56DB" w:rsidRPr="008A196F" w:rsidRDefault="000D56DB" w:rsidP="000D56DB">
      <w:r>
        <w:t>Autor: Calixto Gutierrez-Braojos y Honorio Salmerón Pérez</w:t>
      </w:r>
      <w:r>
        <w:rPr>
          <w:sz w:val="23"/>
          <w:szCs w:val="23"/>
        </w:rPr>
        <w:tab/>
      </w:r>
      <w:r>
        <w:rPr>
          <w:sz w:val="23"/>
          <w:szCs w:val="23"/>
        </w:rPr>
        <w:t xml:space="preserve">                                           </w:t>
      </w:r>
      <w:r>
        <w:rPr>
          <w:sz w:val="23"/>
          <w:szCs w:val="23"/>
        </w:rPr>
        <w:t xml:space="preserve">Edición: 1 </w:t>
      </w:r>
    </w:p>
    <w:p w:rsidR="000D56DB" w:rsidRDefault="000D56DB" w:rsidP="000D56DB">
      <w:r>
        <w:rPr>
          <w:noProof/>
          <w:sz w:val="23"/>
          <w:szCs w:val="23"/>
          <w:lang w:eastAsia="es-MX"/>
        </w:rPr>
        <mc:AlternateContent>
          <mc:Choice Requires="wps">
            <w:drawing>
              <wp:anchor distT="0" distB="0" distL="114300" distR="114300" simplePos="0" relativeHeight="251663360" behindDoc="0" locked="0" layoutInCell="1" allowOverlap="1" wp14:anchorId="331B2FDA" wp14:editId="35077EC9">
                <wp:simplePos x="0" y="0"/>
                <wp:positionH relativeFrom="margin">
                  <wp:align>center</wp:align>
                </wp:positionH>
                <wp:positionV relativeFrom="paragraph">
                  <wp:posOffset>238125</wp:posOffset>
                </wp:positionV>
                <wp:extent cx="6134100" cy="76200"/>
                <wp:effectExtent l="0" t="0" r="0" b="0"/>
                <wp:wrapNone/>
                <wp:docPr id="3" name="Menos 3"/>
                <wp:cNvGraphicFramePr/>
                <a:graphic xmlns:a="http://schemas.openxmlformats.org/drawingml/2006/main">
                  <a:graphicData uri="http://schemas.microsoft.com/office/word/2010/wordprocessingShape">
                    <wps:wsp>
                      <wps:cNvSpPr/>
                      <wps:spPr>
                        <a:xfrm>
                          <a:off x="0" y="0"/>
                          <a:ext cx="6134100" cy="76200"/>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B44AB7" id="Menos 3" o:spid="_x0000_s1026" style="position:absolute;margin-left:0;margin-top:18.75pt;width:483pt;height:6pt;z-index:251663360;visibility:visible;mso-wrap-style:square;mso-wrap-distance-left:9pt;mso-wrap-distance-top:0;mso-wrap-distance-right:9pt;mso-wrap-distance-bottom:0;mso-position-horizontal:center;mso-position-horizontal-relative:margin;mso-position-vertical:absolute;mso-position-vertical-relative:text;v-text-anchor:middle" coordsize="6134100,7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" path="m813075,29139r4507950,l5321025,47061r-4507950,l813075,29139xe" fillcolor="#5b9bd5 [3204]" strokecolor="#1f4d78 [1604]" strokeweight="1pt">
                <v:stroke joinstyle="miter"/>
                <v:path arrowok="t" o:connecttype="custom" o:connectlocs="813075,29139;5321025,29139;5321025,47061;813075,47061;813075,29139" o:connectangles="0,0,0,0,0"/>
                <w10:wrap anchorx="margin"/>
              </v:shape>
            </w:pict>
          </mc:Fallback>
        </mc:AlternateContent>
      </w:r>
      <w:r>
        <w:rPr>
          <w:sz w:val="23"/>
          <w:szCs w:val="23"/>
        </w:rPr>
        <w:t xml:space="preserve">Editorial: </w:t>
      </w:r>
      <w:r>
        <w:t>ISSN 1138-414X</w:t>
      </w:r>
      <w:r>
        <w:rPr>
          <w:sz w:val="23"/>
          <w:szCs w:val="23"/>
        </w:rPr>
        <w:t xml:space="preserve">                                                                                                          </w:t>
      </w:r>
      <w:r>
        <w:rPr>
          <w:sz w:val="23"/>
          <w:szCs w:val="23"/>
        </w:rPr>
        <w:t>AÑO: 2012</w:t>
      </w:r>
    </w:p>
    <w:p w:rsidR="000D56DB" w:rsidRDefault="000D56DB" w:rsidP="000D56DB">
      <w:pPr>
        <w:jc w:val="center"/>
      </w:pPr>
    </w:p>
    <w:p w:rsidR="00A82E40" w:rsidRPr="000D56DB" w:rsidRDefault="000D56DB" w:rsidP="000D56DB">
      <w:pPr>
        <w:jc w:val="both"/>
        <w:rPr>
          <w:rFonts w:ascii="Arial" w:hAnsi="Arial" w:cs="Arial"/>
          <w:sz w:val="24"/>
          <w:szCs w:val="24"/>
        </w:rPr>
      </w:pPr>
      <w:r w:rsidRPr="000D56DB">
        <w:rPr>
          <w:rFonts w:ascii="Arial" w:hAnsi="Arial" w:cs="Arial"/>
          <w:sz w:val="24"/>
          <w:szCs w:val="24"/>
        </w:rPr>
        <w:t>En los procesos de aprendizaje y enseñanza, la competencia lectora es una de las herramientas psicológicas más relevantes. Específicamente en tareas de comprensión de texto, las estrategias de aprendizaje se interpretan como una toma de decisiones sobre la selección y uso de procedimientos de aprendizaje que facilitan una lectura activa, intencional, autorregulada y competente en función de la meta y las características del material textual (</w:t>
      </w:r>
      <w:proofErr w:type="spellStart"/>
      <w:r w:rsidRPr="000D56DB">
        <w:rPr>
          <w:rFonts w:ascii="Arial" w:hAnsi="Arial" w:cs="Arial"/>
          <w:sz w:val="24"/>
          <w:szCs w:val="24"/>
        </w:rPr>
        <w:t>Trabasso</w:t>
      </w:r>
      <w:proofErr w:type="spellEnd"/>
      <w:r w:rsidRPr="000D56DB">
        <w:rPr>
          <w:rFonts w:ascii="Arial" w:hAnsi="Arial" w:cs="Arial"/>
          <w:sz w:val="24"/>
          <w:szCs w:val="24"/>
        </w:rPr>
        <w:t xml:space="preserve"> &amp; </w:t>
      </w:r>
      <w:proofErr w:type="spellStart"/>
      <w:r w:rsidRPr="000D56DB">
        <w:rPr>
          <w:rFonts w:ascii="Arial" w:hAnsi="Arial" w:cs="Arial"/>
          <w:sz w:val="24"/>
          <w:szCs w:val="24"/>
        </w:rPr>
        <w:t>Bouchard</w:t>
      </w:r>
      <w:proofErr w:type="spellEnd"/>
      <w:r w:rsidRPr="000D56DB">
        <w:rPr>
          <w:rFonts w:ascii="Arial" w:hAnsi="Arial" w:cs="Arial"/>
          <w:sz w:val="24"/>
          <w:szCs w:val="24"/>
        </w:rPr>
        <w:t>, 2002). Algunas variables pueden interferir en el proceso evaluador (Brown, 1987), como por ejemplo: la consciencia del lector y su capacidad para reflexionar o abstraer de manera reflexiva sobre una situación hipotética o anterior en el tiempo</w:t>
      </w:r>
      <w:r>
        <w:rPr>
          <w:rFonts w:ascii="Arial" w:hAnsi="Arial" w:cs="Arial"/>
          <w:sz w:val="24"/>
          <w:szCs w:val="24"/>
        </w:rPr>
        <w:t>.</w:t>
      </w:r>
    </w:p>
    <w:p w:rsidR="00A82E40" w:rsidRPr="000D56DB" w:rsidRDefault="00A82E40" w:rsidP="000D56DB">
      <w:pPr>
        <w:jc w:val="both"/>
        <w:rPr>
          <w:rFonts w:ascii="Arial" w:hAnsi="Arial" w:cs="Arial"/>
          <w:sz w:val="24"/>
          <w:szCs w:val="24"/>
        </w:rPr>
      </w:pPr>
    </w:p>
    <w:p w:rsidR="00A82E40" w:rsidRPr="000D56DB" w:rsidRDefault="00A82E40" w:rsidP="000D56DB">
      <w:pPr>
        <w:jc w:val="both"/>
        <w:rPr>
          <w:rFonts w:ascii="Arial" w:hAnsi="Arial" w:cs="Arial"/>
          <w:sz w:val="24"/>
          <w:szCs w:val="24"/>
        </w:rPr>
      </w:pPr>
    </w:p>
    <w:p w:rsidR="00A82E40" w:rsidRDefault="00A82E40" w:rsidP="000F00C8">
      <w:pPr>
        <w:jc w:val="center"/>
      </w:pPr>
    </w:p>
    <w:tbl>
      <w:tblPr>
        <w:tblpPr w:leftFromText="141" w:rightFromText="141" w:vertAnchor="text" w:tblpX="316"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6"/>
        <w:gridCol w:w="4083"/>
      </w:tblGrid>
      <w:tr w:rsidR="0027675B" w:rsidTr="00523622">
        <w:trPr>
          <w:trHeight w:val="475"/>
        </w:trPr>
        <w:tc>
          <w:tcPr>
            <w:tcW w:w="4376" w:type="dxa"/>
          </w:tcPr>
          <w:p w:rsidR="0027675B" w:rsidRDefault="0027675B" w:rsidP="0027675B">
            <w:pPr>
              <w:tabs>
                <w:tab w:val="left" w:pos="510"/>
                <w:tab w:val="left" w:pos="6660"/>
              </w:tabs>
            </w:pPr>
            <w:r>
              <w:lastRenderedPageBreak/>
              <w:t xml:space="preserve">Ficha: 001                                                                                                     </w:t>
            </w:r>
          </w:p>
        </w:tc>
        <w:tc>
          <w:tcPr>
            <w:tcW w:w="4083" w:type="dxa"/>
            <w:shd w:val="clear" w:color="auto" w:fill="auto"/>
          </w:tcPr>
          <w:p w:rsidR="0027675B" w:rsidRDefault="0027675B" w:rsidP="0027675B">
            <w:r>
              <w:t>Tipo: Cita Textual</w:t>
            </w:r>
          </w:p>
        </w:tc>
      </w:tr>
      <w:tr w:rsidR="0027675B" w:rsidTr="00523622">
        <w:trPr>
          <w:trHeight w:val="1929"/>
        </w:trPr>
        <w:tc>
          <w:tcPr>
            <w:tcW w:w="4376" w:type="dxa"/>
          </w:tcPr>
          <w:p w:rsidR="0027675B" w:rsidRDefault="0027675B" w:rsidP="0027675B">
            <w:pPr>
              <w:tabs>
                <w:tab w:val="left" w:pos="510"/>
                <w:tab w:val="left" w:pos="6660"/>
              </w:tabs>
              <w:jc w:val="both"/>
            </w:pPr>
            <w:r>
              <w:t>Auto: Lerner,</w:t>
            </w:r>
          </w:p>
          <w:p w:rsidR="0027675B" w:rsidRDefault="0027675B" w:rsidP="0027675B">
            <w:pPr>
              <w:tabs>
                <w:tab w:val="left" w:pos="510"/>
                <w:tab w:val="left" w:pos="6660"/>
              </w:tabs>
              <w:jc w:val="both"/>
            </w:pPr>
            <w:r>
              <w:t>Título : “Leer y escribir en la escuela; lo real, lo posible y lo necesario”</w:t>
            </w:r>
          </w:p>
          <w:p w:rsidR="0027675B" w:rsidRDefault="0027675B" w:rsidP="0027675B">
            <w:pPr>
              <w:tabs>
                <w:tab w:val="left" w:pos="510"/>
                <w:tab w:val="left" w:pos="6660"/>
              </w:tabs>
              <w:jc w:val="both"/>
            </w:pPr>
            <w:r>
              <w:t xml:space="preserve">Año  : 2001   </w:t>
            </w:r>
          </w:p>
          <w:p w:rsidR="0027675B" w:rsidRDefault="0027675B" w:rsidP="0027675B">
            <w:pPr>
              <w:tabs>
                <w:tab w:val="left" w:pos="510"/>
                <w:tab w:val="left" w:pos="6660"/>
              </w:tabs>
              <w:jc w:val="both"/>
            </w:pPr>
            <w:r>
              <w:t>Página: 147</w:t>
            </w:r>
          </w:p>
          <w:p w:rsidR="0027675B" w:rsidRDefault="0027675B" w:rsidP="0027675B">
            <w:pPr>
              <w:tabs>
                <w:tab w:val="left" w:pos="510"/>
                <w:tab w:val="left" w:pos="6660"/>
              </w:tabs>
            </w:pPr>
          </w:p>
        </w:tc>
        <w:tc>
          <w:tcPr>
            <w:tcW w:w="4083" w:type="dxa"/>
            <w:shd w:val="clear" w:color="auto" w:fill="auto"/>
          </w:tcPr>
          <w:p w:rsidR="0027675B" w:rsidRDefault="0027675B" w:rsidP="0027675B">
            <w:pPr>
              <w:tabs>
                <w:tab w:val="left" w:pos="510"/>
                <w:tab w:val="left" w:pos="6660"/>
              </w:tabs>
              <w:jc w:val="both"/>
            </w:pPr>
            <w:r>
              <w:t xml:space="preserve">Editorial: </w:t>
            </w:r>
            <w:r w:rsidR="00523622">
              <w:t xml:space="preserve">Biblioteca para la actualización del magisterio </w:t>
            </w:r>
          </w:p>
          <w:p w:rsidR="0027675B" w:rsidRDefault="0027675B" w:rsidP="0027675B">
            <w:pPr>
              <w:tabs>
                <w:tab w:val="left" w:pos="510"/>
                <w:tab w:val="left" w:pos="6660"/>
              </w:tabs>
            </w:pPr>
            <w:r>
              <w:t xml:space="preserve">                                                                                                                </w:t>
            </w:r>
          </w:p>
          <w:p w:rsidR="0027675B" w:rsidRDefault="0027675B" w:rsidP="0027675B">
            <w:pPr>
              <w:tabs>
                <w:tab w:val="left" w:pos="510"/>
                <w:tab w:val="left" w:pos="6660"/>
              </w:tabs>
            </w:pPr>
            <w:r>
              <w:t>Cuidad:</w:t>
            </w:r>
            <w:r w:rsidR="00523622">
              <w:t xml:space="preserve"> México</w:t>
            </w:r>
          </w:p>
          <w:p w:rsidR="0027675B" w:rsidRDefault="0027675B" w:rsidP="0027675B"/>
        </w:tc>
      </w:tr>
      <w:tr w:rsidR="0027675B" w:rsidTr="00523622">
        <w:trPr>
          <w:trHeight w:val="1914"/>
        </w:trPr>
        <w:tc>
          <w:tcPr>
            <w:tcW w:w="8459" w:type="dxa"/>
            <w:gridSpan w:val="2"/>
          </w:tcPr>
          <w:p w:rsidR="0027675B" w:rsidRDefault="00523622" w:rsidP="00523622">
            <w:pPr>
              <w:tabs>
                <w:tab w:val="left" w:pos="510"/>
                <w:tab w:val="left" w:pos="6660"/>
              </w:tabs>
              <w:ind w:left="-5"/>
            </w:pPr>
            <w:r>
              <w:t>La evaluación es una necesidad legitima de la institución escolar, es el instrumento que permite determinar en qué medida la enseñanza ha logrado su objetivo (Pág. 147)</w:t>
            </w:r>
          </w:p>
        </w:tc>
      </w:tr>
    </w:tbl>
    <w:p w:rsidR="000F00C8" w:rsidRDefault="0027675B" w:rsidP="000F00C8">
      <w:pPr>
        <w:jc w:val="center"/>
      </w:pPr>
      <w:r>
        <w:tab/>
      </w:r>
    </w:p>
    <w:p w:rsidR="000F00C8" w:rsidRDefault="000F00C8" w:rsidP="000F00C8">
      <w:pPr>
        <w:jc w:val="center"/>
      </w:pPr>
    </w:p>
    <w:p w:rsidR="000F00C8" w:rsidRDefault="000F00C8" w:rsidP="000F00C8">
      <w:pPr>
        <w:jc w:val="center"/>
      </w:pPr>
    </w:p>
    <w:tbl>
      <w:tblPr>
        <w:tblpPr w:leftFromText="141" w:rightFromText="141" w:vertAnchor="text" w:tblpX="316"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6"/>
        <w:gridCol w:w="4083"/>
      </w:tblGrid>
      <w:tr w:rsidR="00523622" w:rsidTr="00B30F7B">
        <w:trPr>
          <w:trHeight w:val="475"/>
        </w:trPr>
        <w:tc>
          <w:tcPr>
            <w:tcW w:w="4376" w:type="dxa"/>
          </w:tcPr>
          <w:p w:rsidR="00523622" w:rsidRDefault="00523622" w:rsidP="00B30F7B">
            <w:pPr>
              <w:tabs>
                <w:tab w:val="left" w:pos="510"/>
                <w:tab w:val="left" w:pos="6660"/>
              </w:tabs>
            </w:pPr>
            <w:r>
              <w:t xml:space="preserve">Ficha: 002                                                                                                     </w:t>
            </w:r>
          </w:p>
        </w:tc>
        <w:tc>
          <w:tcPr>
            <w:tcW w:w="4083" w:type="dxa"/>
            <w:shd w:val="clear" w:color="auto" w:fill="auto"/>
          </w:tcPr>
          <w:p w:rsidR="00523622" w:rsidRDefault="00523622" w:rsidP="00B30F7B">
            <w:r>
              <w:t>Tipo: Cita Textual</w:t>
            </w:r>
          </w:p>
        </w:tc>
      </w:tr>
      <w:tr w:rsidR="00523622" w:rsidTr="00B30F7B">
        <w:trPr>
          <w:trHeight w:val="1929"/>
        </w:trPr>
        <w:tc>
          <w:tcPr>
            <w:tcW w:w="4376" w:type="dxa"/>
          </w:tcPr>
          <w:p w:rsidR="00523622" w:rsidRDefault="00523622" w:rsidP="00B30F7B">
            <w:pPr>
              <w:tabs>
                <w:tab w:val="left" w:pos="510"/>
                <w:tab w:val="left" w:pos="6660"/>
              </w:tabs>
              <w:jc w:val="both"/>
            </w:pPr>
            <w:r>
              <w:t xml:space="preserve">Auto: Sánchez, D </w:t>
            </w:r>
          </w:p>
          <w:p w:rsidR="00523622" w:rsidRDefault="00523622" w:rsidP="00B30F7B">
            <w:pPr>
              <w:tabs>
                <w:tab w:val="left" w:pos="510"/>
                <w:tab w:val="left" w:pos="6660"/>
              </w:tabs>
              <w:jc w:val="both"/>
            </w:pPr>
            <w:r>
              <w:t>Título: “La lectura, conceptos y procesos”. Cap. 1 La lectura. Compilación de Sastrias, M. ”Caminos a la lectura”</w:t>
            </w:r>
          </w:p>
          <w:p w:rsidR="00523622" w:rsidRDefault="00523622" w:rsidP="00B30F7B">
            <w:pPr>
              <w:tabs>
                <w:tab w:val="left" w:pos="510"/>
                <w:tab w:val="left" w:pos="6660"/>
              </w:tabs>
              <w:jc w:val="both"/>
            </w:pPr>
            <w:r>
              <w:t xml:space="preserve">Año  : 1995   </w:t>
            </w:r>
          </w:p>
          <w:p w:rsidR="00523622" w:rsidRDefault="00523622" w:rsidP="00B30F7B">
            <w:pPr>
              <w:tabs>
                <w:tab w:val="left" w:pos="510"/>
                <w:tab w:val="left" w:pos="6660"/>
              </w:tabs>
              <w:jc w:val="both"/>
            </w:pPr>
            <w:r>
              <w:t>Página: 147</w:t>
            </w:r>
          </w:p>
          <w:p w:rsidR="00523622" w:rsidRDefault="00523622" w:rsidP="00B30F7B">
            <w:pPr>
              <w:tabs>
                <w:tab w:val="left" w:pos="510"/>
                <w:tab w:val="left" w:pos="6660"/>
              </w:tabs>
            </w:pPr>
          </w:p>
        </w:tc>
        <w:tc>
          <w:tcPr>
            <w:tcW w:w="4083" w:type="dxa"/>
            <w:shd w:val="clear" w:color="auto" w:fill="auto"/>
          </w:tcPr>
          <w:p w:rsidR="00523622" w:rsidRDefault="00523622" w:rsidP="00B30F7B">
            <w:pPr>
              <w:tabs>
                <w:tab w:val="left" w:pos="510"/>
                <w:tab w:val="left" w:pos="6660"/>
              </w:tabs>
              <w:jc w:val="both"/>
            </w:pPr>
            <w:r>
              <w:t xml:space="preserve">Editorial: Pax México </w:t>
            </w:r>
          </w:p>
          <w:p w:rsidR="00523622" w:rsidRDefault="00523622" w:rsidP="00B30F7B">
            <w:pPr>
              <w:tabs>
                <w:tab w:val="left" w:pos="510"/>
                <w:tab w:val="left" w:pos="6660"/>
              </w:tabs>
            </w:pPr>
            <w:r>
              <w:t xml:space="preserve">                                                                                                                </w:t>
            </w:r>
          </w:p>
          <w:p w:rsidR="00523622" w:rsidRDefault="00523622" w:rsidP="00B30F7B">
            <w:pPr>
              <w:tabs>
                <w:tab w:val="left" w:pos="510"/>
                <w:tab w:val="left" w:pos="6660"/>
              </w:tabs>
            </w:pPr>
            <w:r>
              <w:t>Cuidad: México</w:t>
            </w:r>
          </w:p>
          <w:p w:rsidR="00523622" w:rsidRDefault="00523622" w:rsidP="00B30F7B"/>
        </w:tc>
      </w:tr>
      <w:tr w:rsidR="00523622" w:rsidTr="00B30F7B">
        <w:trPr>
          <w:trHeight w:val="1914"/>
        </w:trPr>
        <w:tc>
          <w:tcPr>
            <w:tcW w:w="8459" w:type="dxa"/>
            <w:gridSpan w:val="2"/>
          </w:tcPr>
          <w:p w:rsidR="00523622" w:rsidRDefault="00523622" w:rsidP="00523622">
            <w:pPr>
              <w:tabs>
                <w:tab w:val="left" w:pos="510"/>
                <w:tab w:val="left" w:pos="6660"/>
              </w:tabs>
              <w:ind w:left="-5"/>
            </w:pPr>
            <w:r>
              <w:t>La comprensión lectora es un proceso de apropiación del significado de textos, mediante el cual el lector logra ir descubriendo una serie de niveles de significado, como la literalidad, retención, organización, inferencia, interpretación, creación y valoración (Sánchez, en Sastrias, 1995 P.20)</w:t>
            </w:r>
          </w:p>
        </w:tc>
      </w:tr>
    </w:tbl>
    <w:p w:rsidR="000F00C8" w:rsidRDefault="000F00C8" w:rsidP="000F00C8">
      <w:pPr>
        <w:jc w:val="center"/>
      </w:pPr>
    </w:p>
    <w:p w:rsidR="000F00C8" w:rsidRDefault="000F00C8" w:rsidP="000F00C8">
      <w:pPr>
        <w:jc w:val="center"/>
      </w:pPr>
    </w:p>
    <w:p w:rsidR="000F00C8" w:rsidRDefault="000F00C8" w:rsidP="000F00C8">
      <w:pPr>
        <w:jc w:val="center"/>
      </w:pPr>
    </w:p>
    <w:tbl>
      <w:tblPr>
        <w:tblpPr w:leftFromText="141" w:rightFromText="141" w:vertAnchor="text" w:tblpX="316"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6"/>
        <w:gridCol w:w="4083"/>
      </w:tblGrid>
      <w:tr w:rsidR="00A82E40" w:rsidTr="009B2C8D">
        <w:trPr>
          <w:trHeight w:val="475"/>
        </w:trPr>
        <w:tc>
          <w:tcPr>
            <w:tcW w:w="4376" w:type="dxa"/>
          </w:tcPr>
          <w:p w:rsidR="00A82E40" w:rsidRDefault="00A82E40" w:rsidP="009B2C8D">
            <w:pPr>
              <w:tabs>
                <w:tab w:val="left" w:pos="510"/>
                <w:tab w:val="left" w:pos="6660"/>
              </w:tabs>
            </w:pPr>
            <w:r>
              <w:lastRenderedPageBreak/>
              <w:t>Ficha: 003</w:t>
            </w:r>
            <w:r>
              <w:t xml:space="preserve">                                                                                                     </w:t>
            </w:r>
          </w:p>
        </w:tc>
        <w:tc>
          <w:tcPr>
            <w:tcW w:w="4083" w:type="dxa"/>
            <w:shd w:val="clear" w:color="auto" w:fill="auto"/>
          </w:tcPr>
          <w:p w:rsidR="00A82E40" w:rsidRDefault="00A82E40" w:rsidP="009B2C8D">
            <w:r>
              <w:t>Tipo: Cita Textual</w:t>
            </w:r>
          </w:p>
        </w:tc>
      </w:tr>
      <w:tr w:rsidR="00A82E40" w:rsidTr="009B2C8D">
        <w:trPr>
          <w:trHeight w:val="1929"/>
        </w:trPr>
        <w:tc>
          <w:tcPr>
            <w:tcW w:w="4376" w:type="dxa"/>
          </w:tcPr>
          <w:p w:rsidR="00A82E40" w:rsidRDefault="00A82E40" w:rsidP="009B2C8D">
            <w:pPr>
              <w:tabs>
                <w:tab w:val="left" w:pos="510"/>
                <w:tab w:val="left" w:pos="6660"/>
              </w:tabs>
              <w:jc w:val="both"/>
            </w:pPr>
            <w:r>
              <w:t xml:space="preserve">Auto: </w:t>
            </w:r>
            <w:r>
              <w:t>Gómez P</w:t>
            </w:r>
            <w:r>
              <w:t xml:space="preserve"> </w:t>
            </w:r>
          </w:p>
          <w:p w:rsidR="00A82E40" w:rsidRDefault="00A82E40" w:rsidP="009B2C8D">
            <w:pPr>
              <w:tabs>
                <w:tab w:val="left" w:pos="510"/>
                <w:tab w:val="left" w:pos="6660"/>
              </w:tabs>
              <w:jc w:val="both"/>
            </w:pPr>
            <w:r>
              <w:t>Título: “La lectura</w:t>
            </w:r>
            <w:r>
              <w:t xml:space="preserve"> en la escuela</w:t>
            </w:r>
            <w:r>
              <w:t>”</w:t>
            </w:r>
          </w:p>
          <w:p w:rsidR="00A82E40" w:rsidRDefault="00A82E40" w:rsidP="009B2C8D">
            <w:pPr>
              <w:tabs>
                <w:tab w:val="left" w:pos="510"/>
                <w:tab w:val="left" w:pos="6660"/>
              </w:tabs>
              <w:jc w:val="both"/>
            </w:pPr>
            <w:r>
              <w:t xml:space="preserve">Año  : </w:t>
            </w:r>
            <w:r>
              <w:t>2002</w:t>
            </w:r>
          </w:p>
          <w:p w:rsidR="00A82E40" w:rsidRDefault="00A82E40" w:rsidP="009B2C8D">
            <w:pPr>
              <w:tabs>
                <w:tab w:val="left" w:pos="510"/>
                <w:tab w:val="left" w:pos="6660"/>
              </w:tabs>
              <w:jc w:val="both"/>
            </w:pPr>
            <w:r>
              <w:t>Página: s/p</w:t>
            </w:r>
          </w:p>
          <w:p w:rsidR="00A82E40" w:rsidRDefault="00A82E40" w:rsidP="009B2C8D">
            <w:pPr>
              <w:tabs>
                <w:tab w:val="left" w:pos="510"/>
                <w:tab w:val="left" w:pos="6660"/>
              </w:tabs>
            </w:pPr>
          </w:p>
        </w:tc>
        <w:tc>
          <w:tcPr>
            <w:tcW w:w="4083" w:type="dxa"/>
            <w:shd w:val="clear" w:color="auto" w:fill="auto"/>
          </w:tcPr>
          <w:p w:rsidR="00A82E40" w:rsidRDefault="00A82E40" w:rsidP="009B2C8D">
            <w:pPr>
              <w:tabs>
                <w:tab w:val="left" w:pos="510"/>
                <w:tab w:val="left" w:pos="6660"/>
              </w:tabs>
              <w:jc w:val="both"/>
            </w:pPr>
            <w:r>
              <w:t>Editorial</w:t>
            </w:r>
            <w:r>
              <w:t>: Biblioteca para la actualización del maestro. SEP</w:t>
            </w:r>
          </w:p>
          <w:p w:rsidR="00A82E40" w:rsidRDefault="00A82E40" w:rsidP="009B2C8D">
            <w:pPr>
              <w:tabs>
                <w:tab w:val="left" w:pos="510"/>
                <w:tab w:val="left" w:pos="6660"/>
              </w:tabs>
            </w:pPr>
            <w:r>
              <w:t xml:space="preserve">                                                                                                                </w:t>
            </w:r>
          </w:p>
          <w:p w:rsidR="00A82E40" w:rsidRDefault="00A82E40" w:rsidP="009B2C8D">
            <w:pPr>
              <w:tabs>
                <w:tab w:val="left" w:pos="510"/>
                <w:tab w:val="left" w:pos="6660"/>
              </w:tabs>
            </w:pPr>
            <w:r>
              <w:t>Cuidad: México</w:t>
            </w:r>
          </w:p>
          <w:p w:rsidR="00A82E40" w:rsidRDefault="00A82E40" w:rsidP="009B2C8D"/>
        </w:tc>
      </w:tr>
      <w:tr w:rsidR="00A82E40" w:rsidTr="009B2C8D">
        <w:trPr>
          <w:trHeight w:val="1914"/>
        </w:trPr>
        <w:tc>
          <w:tcPr>
            <w:tcW w:w="8459" w:type="dxa"/>
            <w:gridSpan w:val="2"/>
          </w:tcPr>
          <w:p w:rsidR="00A82E40" w:rsidRDefault="00A82E40" w:rsidP="009B2C8D">
            <w:pPr>
              <w:tabs>
                <w:tab w:val="left" w:pos="510"/>
                <w:tab w:val="left" w:pos="6660"/>
              </w:tabs>
              <w:ind w:left="-5"/>
            </w:pPr>
            <w:r>
              <w:t>El quehacer del lector requiere la posibilidad de que pueda construir su propio camino, tal es la función que viene a llenar el hipertexto, (Gomez,2002)</w:t>
            </w:r>
          </w:p>
        </w:tc>
      </w:tr>
    </w:tbl>
    <w:p w:rsidR="000F00C8" w:rsidRPr="000F00C8" w:rsidRDefault="000F00C8" w:rsidP="000F00C8">
      <w:pPr>
        <w:jc w:val="center"/>
      </w:pPr>
    </w:p>
    <w:sectPr w:rsidR="000F00C8" w:rsidRPr="000F00C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114"/>
    <w:rsid w:val="00012088"/>
    <w:rsid w:val="000D56DB"/>
    <w:rsid w:val="000F00C8"/>
    <w:rsid w:val="00187114"/>
    <w:rsid w:val="0027675B"/>
    <w:rsid w:val="004953CE"/>
    <w:rsid w:val="00523622"/>
    <w:rsid w:val="00857BCC"/>
    <w:rsid w:val="008A196F"/>
    <w:rsid w:val="009B66AD"/>
    <w:rsid w:val="00A82E40"/>
    <w:rsid w:val="00DF5FA6"/>
    <w:rsid w:val="00E441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9C076D-456B-41C9-B996-C48C44F06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44193"/>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1069</Words>
  <Characters>5884</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CECAD24</dc:creator>
  <cp:keywords/>
  <dc:description/>
  <cp:lastModifiedBy>CECAD40</cp:lastModifiedBy>
  <cp:revision>3</cp:revision>
  <dcterms:created xsi:type="dcterms:W3CDTF">2015-04-22T23:04:00Z</dcterms:created>
  <dcterms:modified xsi:type="dcterms:W3CDTF">2015-04-22T23:04:00Z</dcterms:modified>
</cp:coreProperties>
</file>